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3780"/>
        </w:tabs>
        <w:adjustRightInd w:val="0"/>
        <w:snapToGrid w:val="0"/>
        <w:spacing w:before="0" w:beforeAutospacing="0" w:after="0" w:afterAutospacing="0" w:line="300" w:lineRule="auto"/>
        <w:jc w:val="both"/>
        <w:rPr>
          <w:rFonts w:ascii="华文中宋" w:hAnsi="华文中宋" w:eastAsia="华文中宋" w:cs="华文中宋"/>
          <w:color w:val="auto"/>
          <w:kern w:val="2"/>
          <w:sz w:val="32"/>
          <w:szCs w:val="32"/>
        </w:rPr>
      </w:pPr>
      <w:r>
        <w:rPr>
          <w:rFonts w:hint="eastAsia" w:ascii="华文中宋" w:hAnsi="华文中宋" w:eastAsia="华文中宋" w:cs="华文中宋"/>
          <w:color w:val="auto"/>
          <w:kern w:val="2"/>
          <w:sz w:val="32"/>
          <w:szCs w:val="32"/>
        </w:rPr>
        <w:t>附件2：</w:t>
      </w:r>
    </w:p>
    <w:p>
      <w:pPr>
        <w:pStyle w:val="5"/>
        <w:adjustRightInd w:val="0"/>
        <w:snapToGrid w:val="0"/>
        <w:spacing w:before="0" w:beforeAutospacing="0" w:after="0" w:afterAutospacing="0" w:line="300" w:lineRule="auto"/>
        <w:jc w:val="center"/>
        <w:rPr>
          <w:rFonts w:hint="eastAsia" w:ascii="Arial" w:hAnsi="Arial" w:eastAsia="华文中宋" w:cs="Arial"/>
          <w:color w:val="auto"/>
          <w:kern w:val="2"/>
          <w:sz w:val="32"/>
          <w:szCs w:val="32"/>
          <w:lang w:eastAsia="zh-CN"/>
        </w:rPr>
      </w:pPr>
      <w:r>
        <w:rPr>
          <w:rFonts w:ascii="Arial" w:hAnsi="Arial" w:eastAsia="华文中宋" w:cs="Arial"/>
          <w:color w:val="auto"/>
          <w:kern w:val="2"/>
          <w:sz w:val="32"/>
          <w:szCs w:val="32"/>
        </w:rPr>
        <w:t>广州中医药大学</w:t>
      </w:r>
      <w:r>
        <w:rPr>
          <w:rFonts w:hint="eastAsia" w:ascii="Arial" w:hAnsi="Arial" w:eastAsia="华文中宋" w:cs="Arial"/>
          <w:color w:val="auto"/>
          <w:kern w:val="2"/>
          <w:sz w:val="32"/>
          <w:szCs w:val="32"/>
          <w:lang w:eastAsia="zh-CN"/>
        </w:rPr>
        <w:t>2022</w:t>
      </w:r>
      <w:r>
        <w:rPr>
          <w:rFonts w:ascii="Arial" w:hAnsi="Arial" w:eastAsia="华文中宋" w:cs="Arial"/>
          <w:color w:val="auto"/>
          <w:kern w:val="2"/>
          <w:sz w:val="32"/>
          <w:szCs w:val="32"/>
        </w:rPr>
        <w:t>年硕士生调剂复试</w:t>
      </w:r>
      <w:r>
        <w:rPr>
          <w:rFonts w:hint="eastAsia" w:ascii="Arial" w:hAnsi="Arial" w:eastAsia="华文中宋" w:cs="Arial"/>
          <w:color w:val="auto"/>
          <w:kern w:val="2"/>
          <w:sz w:val="32"/>
          <w:szCs w:val="32"/>
          <w:lang w:eastAsia="zh-CN"/>
        </w:rPr>
        <w:t>方案</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根据我校复试录取</w:t>
      </w:r>
      <w:r>
        <w:rPr>
          <w:rFonts w:hint="eastAsia" w:ascii="Arial" w:hAnsi="Arial" w:eastAsia="仿宋_GB2312" w:cs="Arial"/>
          <w:color w:val="auto"/>
          <w:sz w:val="30"/>
          <w:szCs w:val="30"/>
          <w:u w:val="none"/>
          <w:lang w:eastAsia="zh-CN"/>
        </w:rPr>
        <w:t>方案</w:t>
      </w:r>
      <w:r>
        <w:rPr>
          <w:rFonts w:ascii="Arial" w:hAnsi="Arial" w:eastAsia="仿宋_GB2312" w:cs="Arial"/>
          <w:color w:val="auto"/>
          <w:sz w:val="30"/>
          <w:szCs w:val="30"/>
        </w:rPr>
        <w:t>，结合学校工作实际，我校</w:t>
      </w:r>
      <w:r>
        <w:rPr>
          <w:rFonts w:hint="eastAsia" w:ascii="Arial" w:hAnsi="Arial" w:eastAsia="仿宋_GB2312" w:cs="Arial"/>
          <w:color w:val="auto"/>
          <w:sz w:val="30"/>
          <w:szCs w:val="30"/>
          <w:lang w:eastAsia="zh-CN"/>
        </w:rPr>
        <w:t>2022</w:t>
      </w:r>
      <w:r>
        <w:rPr>
          <w:rFonts w:ascii="Arial" w:hAnsi="Arial" w:eastAsia="仿宋_GB2312" w:cs="Arial"/>
          <w:color w:val="auto"/>
          <w:sz w:val="30"/>
          <w:szCs w:val="30"/>
        </w:rPr>
        <w:t>年</w:t>
      </w:r>
      <w:r>
        <w:rPr>
          <w:rFonts w:hint="eastAsia" w:ascii="Arial" w:hAnsi="Arial" w:eastAsia="仿宋_GB2312" w:cs="Arial"/>
          <w:color w:val="auto"/>
          <w:sz w:val="30"/>
          <w:szCs w:val="30"/>
        </w:rPr>
        <w:t>硕士生</w:t>
      </w:r>
      <w:r>
        <w:rPr>
          <w:rFonts w:ascii="Arial" w:hAnsi="Arial" w:eastAsia="仿宋_GB2312" w:cs="Arial"/>
          <w:color w:val="auto"/>
          <w:sz w:val="30"/>
          <w:szCs w:val="30"/>
        </w:rPr>
        <w:t>复试</w:t>
      </w:r>
      <w:r>
        <w:rPr>
          <w:rFonts w:hint="eastAsia" w:ascii="Arial" w:hAnsi="Arial" w:eastAsia="仿宋_GB2312" w:cs="Arial"/>
          <w:color w:val="auto"/>
          <w:sz w:val="30"/>
          <w:szCs w:val="30"/>
        </w:rPr>
        <w:t>、调剂与</w:t>
      </w:r>
      <w:r>
        <w:rPr>
          <w:rFonts w:ascii="Arial" w:hAnsi="Arial" w:eastAsia="仿宋_GB2312" w:cs="Arial"/>
          <w:color w:val="auto"/>
          <w:sz w:val="30"/>
          <w:szCs w:val="30"/>
        </w:rPr>
        <w:t>录取拟按</w:t>
      </w:r>
      <w:r>
        <w:rPr>
          <w:rFonts w:ascii="Arial" w:hAnsi="Arial" w:eastAsia="仿宋_GB2312" w:cs="Arial"/>
          <w:b/>
          <w:bCs/>
          <w:color w:val="auto"/>
          <w:sz w:val="30"/>
          <w:szCs w:val="30"/>
        </w:rPr>
        <w:t>“两阶段”</w:t>
      </w:r>
      <w:r>
        <w:rPr>
          <w:rFonts w:ascii="Arial" w:hAnsi="Arial" w:eastAsia="仿宋_GB2312" w:cs="Arial"/>
          <w:color w:val="auto"/>
          <w:sz w:val="30"/>
          <w:szCs w:val="30"/>
        </w:rPr>
        <w:t>进行：第一阶段为</w:t>
      </w:r>
      <w:r>
        <w:rPr>
          <w:rFonts w:ascii="Arial" w:hAnsi="Arial" w:eastAsia="仿宋_GB2312" w:cs="Arial"/>
          <w:b/>
          <w:bCs/>
          <w:color w:val="auto"/>
          <w:sz w:val="30"/>
          <w:szCs w:val="30"/>
        </w:rPr>
        <w:t>院所内部统筹复试</w:t>
      </w:r>
      <w:r>
        <w:rPr>
          <w:rFonts w:ascii="Arial" w:hAnsi="Arial" w:eastAsia="仿宋_GB2312" w:cs="Arial"/>
          <w:color w:val="auto"/>
          <w:sz w:val="30"/>
          <w:szCs w:val="30"/>
        </w:rPr>
        <w:t>；第二阶段为</w:t>
      </w:r>
      <w:r>
        <w:rPr>
          <w:rFonts w:ascii="Arial" w:hAnsi="Arial" w:eastAsia="仿宋_GB2312" w:cs="Arial"/>
          <w:b/>
          <w:bCs/>
          <w:color w:val="auto"/>
          <w:sz w:val="30"/>
          <w:szCs w:val="30"/>
        </w:rPr>
        <w:t>学校统筹调剂复试</w:t>
      </w:r>
      <w:r>
        <w:rPr>
          <w:rFonts w:ascii="Arial" w:hAnsi="Arial" w:eastAsia="仿宋_GB2312" w:cs="Arial"/>
          <w:color w:val="auto"/>
          <w:sz w:val="30"/>
          <w:szCs w:val="30"/>
        </w:rPr>
        <w:t>。</w:t>
      </w:r>
    </w:p>
    <w:p>
      <w:pPr>
        <w:pStyle w:val="5"/>
        <w:adjustRightInd w:val="0"/>
        <w:snapToGrid w:val="0"/>
        <w:spacing w:before="0" w:beforeAutospacing="0" w:after="0" w:afterAutospacing="0" w:line="300" w:lineRule="auto"/>
        <w:ind w:firstLine="602" w:firstLineChars="200"/>
        <w:rPr>
          <w:rFonts w:ascii="Arial" w:hAnsi="Arial" w:eastAsia="仿宋_GB2312" w:cs="Arial"/>
          <w:b/>
          <w:bCs/>
          <w:color w:val="auto"/>
          <w:sz w:val="30"/>
          <w:szCs w:val="30"/>
        </w:rPr>
      </w:pPr>
      <w:r>
        <w:rPr>
          <w:rFonts w:ascii="Arial" w:hAnsi="Arial" w:eastAsia="仿宋_GB2312" w:cs="Arial"/>
          <w:b/>
          <w:bCs/>
          <w:color w:val="auto"/>
          <w:sz w:val="30"/>
          <w:szCs w:val="30"/>
        </w:rPr>
        <w:t>一、第一阶段：院所内部统筹复试</w:t>
      </w:r>
    </w:p>
    <w:p>
      <w:pPr>
        <w:pStyle w:val="5"/>
        <w:adjustRightInd w:val="0"/>
        <w:snapToGrid w:val="0"/>
        <w:spacing w:before="0" w:beforeAutospacing="0" w:after="0" w:afterAutospacing="0" w:line="300" w:lineRule="auto"/>
        <w:ind w:firstLine="602" w:firstLineChars="200"/>
        <w:rPr>
          <w:rFonts w:ascii="Arial" w:hAnsi="Arial" w:eastAsia="仿宋_GB2312" w:cs="Arial"/>
          <w:color w:val="auto"/>
          <w:sz w:val="30"/>
          <w:szCs w:val="30"/>
        </w:rPr>
      </w:pPr>
      <w:r>
        <w:rPr>
          <w:rFonts w:hint="eastAsia" w:ascii="Arial" w:hAnsi="Arial" w:eastAsia="仿宋_GB2312" w:cs="Arial"/>
          <w:b/>
          <w:bCs/>
          <w:color w:val="auto"/>
          <w:sz w:val="30"/>
          <w:szCs w:val="30"/>
        </w:rPr>
        <w:t>（一）</w:t>
      </w:r>
      <w:r>
        <w:rPr>
          <w:rFonts w:ascii="Arial" w:hAnsi="Arial" w:eastAsia="仿宋_GB2312" w:cs="Arial"/>
          <w:b/>
          <w:bCs/>
          <w:color w:val="auto"/>
          <w:sz w:val="30"/>
          <w:szCs w:val="30"/>
        </w:rPr>
        <w:t>对象：</w:t>
      </w:r>
      <w:r>
        <w:rPr>
          <w:rFonts w:ascii="Arial" w:hAnsi="Arial" w:eastAsia="仿宋_GB2312" w:cs="Arial"/>
          <w:color w:val="auto"/>
          <w:sz w:val="30"/>
          <w:szCs w:val="30"/>
        </w:rPr>
        <w:t>符合我校进入复试的初试成绩基本要求，第一志愿进入</w:t>
      </w:r>
      <w:r>
        <w:rPr>
          <w:rFonts w:ascii="Arial" w:hAnsi="Arial" w:eastAsia="仿宋_GB2312" w:cs="Arial"/>
          <w:b/>
          <w:bCs/>
          <w:color w:val="auto"/>
          <w:sz w:val="30"/>
          <w:szCs w:val="30"/>
        </w:rPr>
        <w:t>院所复试名单</w:t>
      </w:r>
      <w:r>
        <w:rPr>
          <w:rFonts w:ascii="Arial" w:hAnsi="Arial" w:eastAsia="仿宋_GB2312" w:cs="Arial"/>
          <w:color w:val="auto"/>
          <w:sz w:val="30"/>
          <w:szCs w:val="30"/>
        </w:rPr>
        <w:t>的考生，参加院所内部统筹复试。即第一志愿进入院所专业复试名单的考生直接按一志愿专业复试且不得调整；其余考生由院所根据内部生源实际统筹组织复试：合格生源充足但分布不均衡院所可在内部对考生进行专业调整后再组织复试。复试名单由院所根据本单位《复试录取实施细则》确定，《复试录取实施细则》要提前公开。专业复试比例由院所根据分专业计划与生源情况，一般在1</w:t>
      </w:r>
      <w:r>
        <w:rPr>
          <w:rFonts w:hint="eastAsia" w:ascii="Arial" w:hAnsi="Arial" w:eastAsia="仿宋_GB2312" w:cs="Arial"/>
          <w:color w:val="auto"/>
          <w:sz w:val="30"/>
          <w:szCs w:val="30"/>
          <w:lang w:val="en-US" w:eastAsia="zh-CN"/>
        </w:rPr>
        <w:t>5</w:t>
      </w:r>
      <w:r>
        <w:rPr>
          <w:rFonts w:ascii="Arial" w:hAnsi="Arial" w:eastAsia="仿宋_GB2312" w:cs="Arial"/>
          <w:color w:val="auto"/>
          <w:sz w:val="30"/>
          <w:szCs w:val="30"/>
        </w:rPr>
        <w:t>0%～200%范围内合理拟定；合格生源不足的院所按实际合格考生名单组织复试。</w:t>
      </w:r>
    </w:p>
    <w:p>
      <w:pPr>
        <w:pStyle w:val="5"/>
        <w:adjustRightInd w:val="0"/>
        <w:snapToGrid w:val="0"/>
        <w:spacing w:before="0" w:beforeAutospacing="0" w:after="0" w:afterAutospacing="0" w:line="300" w:lineRule="auto"/>
        <w:ind w:firstLine="602" w:firstLineChars="200"/>
        <w:rPr>
          <w:rFonts w:ascii="Arial" w:hAnsi="Arial" w:eastAsia="仿宋_GB2312" w:cs="Arial"/>
          <w:color w:val="auto"/>
          <w:sz w:val="30"/>
          <w:szCs w:val="30"/>
          <w:u w:val="none"/>
        </w:rPr>
      </w:pPr>
      <w:r>
        <w:rPr>
          <w:rFonts w:hint="eastAsia" w:ascii="Arial" w:hAnsi="Arial" w:eastAsia="仿宋_GB2312" w:cs="Arial"/>
          <w:b/>
          <w:bCs/>
          <w:color w:val="auto"/>
          <w:sz w:val="30"/>
          <w:szCs w:val="30"/>
        </w:rPr>
        <w:t>（二）</w:t>
      </w:r>
      <w:r>
        <w:rPr>
          <w:rFonts w:ascii="Arial" w:hAnsi="Arial" w:eastAsia="仿宋_GB2312" w:cs="Arial"/>
          <w:b/>
          <w:bCs/>
          <w:color w:val="auto"/>
          <w:sz w:val="30"/>
          <w:szCs w:val="30"/>
        </w:rPr>
        <w:t>时间：</w:t>
      </w:r>
      <w:r>
        <w:rPr>
          <w:rFonts w:hint="eastAsia" w:ascii="Arial" w:hAnsi="Arial" w:eastAsia="仿宋_GB2312" w:cs="Arial"/>
          <w:b/>
          <w:bCs/>
          <w:color w:val="auto"/>
          <w:sz w:val="30"/>
          <w:szCs w:val="30"/>
          <w:u w:val="none"/>
          <w:lang w:val="en-US" w:eastAsia="zh-CN"/>
        </w:rPr>
        <w:t>3</w:t>
      </w:r>
      <w:r>
        <w:rPr>
          <w:rFonts w:ascii="Arial" w:hAnsi="Arial" w:eastAsia="仿宋_GB2312" w:cs="Arial"/>
          <w:color w:val="auto"/>
          <w:sz w:val="30"/>
          <w:szCs w:val="30"/>
          <w:u w:val="none"/>
        </w:rPr>
        <w:t>月</w:t>
      </w:r>
      <w:r>
        <w:rPr>
          <w:rFonts w:hint="eastAsia" w:ascii="Arial" w:hAnsi="Arial" w:eastAsia="仿宋_GB2312" w:cs="Arial"/>
          <w:color w:val="auto"/>
          <w:sz w:val="30"/>
          <w:szCs w:val="30"/>
          <w:u w:val="none"/>
          <w:lang w:val="en-US" w:eastAsia="zh-CN"/>
        </w:rPr>
        <w:t>31</w:t>
      </w:r>
      <w:r>
        <w:rPr>
          <w:rFonts w:ascii="Arial" w:hAnsi="Arial" w:eastAsia="仿宋_GB2312" w:cs="Arial"/>
          <w:color w:val="auto"/>
          <w:sz w:val="30"/>
          <w:szCs w:val="30"/>
          <w:u w:val="none"/>
        </w:rPr>
        <w:t>日～</w:t>
      </w:r>
      <w:r>
        <w:rPr>
          <w:rFonts w:hint="eastAsia" w:ascii="Arial" w:hAnsi="Arial" w:eastAsia="仿宋_GB2312" w:cs="Arial"/>
          <w:color w:val="auto"/>
          <w:sz w:val="30"/>
          <w:szCs w:val="30"/>
          <w:u w:val="none"/>
        </w:rPr>
        <w:t>4</w:t>
      </w:r>
      <w:r>
        <w:rPr>
          <w:rFonts w:ascii="Arial" w:hAnsi="Arial" w:eastAsia="仿宋_GB2312" w:cs="Arial"/>
          <w:color w:val="auto"/>
          <w:sz w:val="30"/>
          <w:szCs w:val="30"/>
          <w:u w:val="none"/>
        </w:rPr>
        <w:t>月</w:t>
      </w:r>
      <w:r>
        <w:rPr>
          <w:rFonts w:hint="eastAsia" w:ascii="Arial" w:hAnsi="Arial" w:eastAsia="仿宋_GB2312" w:cs="Arial"/>
          <w:color w:val="auto"/>
          <w:sz w:val="30"/>
          <w:szCs w:val="30"/>
          <w:u w:val="none"/>
          <w:lang w:val="en-US" w:eastAsia="zh-CN"/>
        </w:rPr>
        <w:t>6</w:t>
      </w:r>
      <w:r>
        <w:rPr>
          <w:rFonts w:ascii="Arial" w:hAnsi="Arial" w:eastAsia="仿宋_GB2312" w:cs="Arial"/>
          <w:color w:val="auto"/>
          <w:sz w:val="30"/>
          <w:szCs w:val="30"/>
          <w:u w:val="none"/>
        </w:rPr>
        <w:t>日</w:t>
      </w:r>
    </w:p>
    <w:p>
      <w:pPr>
        <w:pStyle w:val="5"/>
        <w:adjustRightInd w:val="0"/>
        <w:snapToGrid w:val="0"/>
        <w:spacing w:before="0" w:beforeAutospacing="0" w:after="0" w:afterAutospacing="0" w:line="300" w:lineRule="auto"/>
        <w:ind w:firstLine="602" w:firstLineChars="200"/>
        <w:rPr>
          <w:rFonts w:ascii="Arial" w:hAnsi="Arial" w:eastAsia="仿宋_GB2312" w:cs="Arial"/>
          <w:color w:val="auto"/>
          <w:sz w:val="30"/>
          <w:szCs w:val="30"/>
        </w:rPr>
      </w:pPr>
      <w:r>
        <w:rPr>
          <w:rFonts w:hint="eastAsia" w:ascii="Arial" w:hAnsi="Arial" w:eastAsia="仿宋_GB2312" w:cs="Arial"/>
          <w:b/>
          <w:bCs/>
          <w:color w:val="auto"/>
          <w:sz w:val="30"/>
          <w:szCs w:val="30"/>
        </w:rPr>
        <w:t>（三）</w:t>
      </w:r>
      <w:r>
        <w:rPr>
          <w:rFonts w:ascii="Arial" w:hAnsi="Arial" w:eastAsia="仿宋_GB2312" w:cs="Arial"/>
          <w:b/>
          <w:bCs/>
          <w:color w:val="auto"/>
          <w:sz w:val="30"/>
          <w:szCs w:val="30"/>
        </w:rPr>
        <w:t>程序</w:t>
      </w:r>
      <w:r>
        <w:rPr>
          <w:rFonts w:hint="eastAsia" w:ascii="Arial" w:hAnsi="Arial" w:eastAsia="仿宋_GB2312" w:cs="Arial"/>
          <w:b/>
          <w:bCs/>
          <w:color w:val="auto"/>
          <w:sz w:val="30"/>
          <w:szCs w:val="30"/>
        </w:rPr>
        <w:t>：</w:t>
      </w:r>
      <w:r>
        <w:rPr>
          <w:rFonts w:ascii="Arial" w:hAnsi="Arial" w:eastAsia="仿宋_GB2312" w:cs="Arial"/>
          <w:color w:val="auto"/>
          <w:sz w:val="30"/>
          <w:szCs w:val="30"/>
        </w:rPr>
        <w:t>院所公布本单位专业复试名单确定方案→→确定专业复试考生名单→→院所通知考生复试→→报研究生院备案→→院所组织复试→→登陆研招网调剂服务系统</w:t>
      </w:r>
      <w:r>
        <w:rPr>
          <w:rFonts w:hint="eastAsia" w:ascii="Arial" w:hAnsi="Arial" w:eastAsia="仿宋_GB2312" w:cs="Arial"/>
          <w:color w:val="auto"/>
          <w:sz w:val="30"/>
          <w:szCs w:val="30"/>
        </w:rPr>
        <w:t>完善</w:t>
      </w:r>
      <w:r>
        <w:rPr>
          <w:rFonts w:ascii="Arial" w:hAnsi="Arial" w:eastAsia="仿宋_GB2312" w:cs="Arial"/>
          <w:color w:val="auto"/>
          <w:sz w:val="30"/>
          <w:szCs w:val="30"/>
        </w:rPr>
        <w:t>相关确认手续</w:t>
      </w:r>
    </w:p>
    <w:p>
      <w:pPr>
        <w:pStyle w:val="5"/>
        <w:adjustRightInd w:val="0"/>
        <w:snapToGrid w:val="0"/>
        <w:spacing w:before="0" w:beforeAutospacing="0" w:after="0" w:afterAutospacing="0" w:line="300" w:lineRule="auto"/>
        <w:ind w:firstLine="602" w:firstLineChars="200"/>
        <w:rPr>
          <w:rFonts w:ascii="Arial" w:hAnsi="Arial" w:eastAsia="仿宋_GB2312" w:cs="Arial"/>
          <w:color w:val="auto"/>
          <w:sz w:val="30"/>
          <w:szCs w:val="30"/>
        </w:rPr>
      </w:pPr>
      <w:r>
        <w:rPr>
          <w:rFonts w:hint="eastAsia" w:ascii="Arial" w:hAnsi="Arial" w:eastAsia="仿宋_GB2312" w:cs="Arial"/>
          <w:b/>
          <w:bCs/>
          <w:color w:val="auto"/>
          <w:sz w:val="30"/>
          <w:szCs w:val="30"/>
        </w:rPr>
        <w:t>（四）</w:t>
      </w:r>
      <w:r>
        <w:rPr>
          <w:rFonts w:ascii="Arial" w:hAnsi="Arial" w:eastAsia="仿宋_GB2312" w:cs="Arial"/>
          <w:b/>
          <w:bCs/>
          <w:color w:val="auto"/>
          <w:sz w:val="30"/>
          <w:szCs w:val="30"/>
        </w:rPr>
        <w:t>提醒：</w:t>
      </w:r>
      <w:r>
        <w:rPr>
          <w:rFonts w:ascii="Arial" w:hAnsi="Arial" w:eastAsia="仿宋_GB2312" w:cs="Arial"/>
          <w:color w:val="auto"/>
          <w:sz w:val="30"/>
          <w:szCs w:val="30"/>
        </w:rPr>
        <w:t>参加一志愿院所内复试已被录取的考生不得再申请第二批次的复试，一经发现</w:t>
      </w:r>
      <w:r>
        <w:rPr>
          <w:rFonts w:hint="eastAsia" w:ascii="Arial" w:hAnsi="Arial" w:eastAsia="仿宋_GB2312" w:cs="Arial"/>
          <w:color w:val="auto"/>
          <w:sz w:val="30"/>
          <w:szCs w:val="30"/>
        </w:rPr>
        <w:t>有违该要求者</w:t>
      </w:r>
      <w:r>
        <w:rPr>
          <w:rFonts w:ascii="Arial" w:hAnsi="Arial" w:eastAsia="仿宋_GB2312" w:cs="Arial"/>
          <w:color w:val="auto"/>
          <w:sz w:val="30"/>
          <w:szCs w:val="30"/>
        </w:rPr>
        <w:t>保留原录取资格同时取消后续复试资格</w:t>
      </w:r>
      <w:r>
        <w:rPr>
          <w:rFonts w:hint="eastAsia" w:ascii="Arial" w:hAnsi="Arial" w:eastAsia="仿宋_GB2312" w:cs="Arial"/>
          <w:color w:val="auto"/>
          <w:sz w:val="30"/>
          <w:szCs w:val="30"/>
        </w:rPr>
        <w:t>；第一阶段进行院所内部调整复试的考生，应在</w:t>
      </w:r>
      <w:r>
        <w:rPr>
          <w:rFonts w:hint="eastAsia" w:ascii="Arial" w:hAnsi="Arial" w:eastAsia="仿宋_GB2312" w:cs="Arial"/>
          <w:color w:val="auto"/>
          <w:sz w:val="30"/>
          <w:szCs w:val="30"/>
          <w:u w:val="none"/>
        </w:rPr>
        <w:t>4月</w:t>
      </w:r>
      <w:r>
        <w:rPr>
          <w:rFonts w:hint="eastAsia" w:ascii="Arial" w:hAnsi="Arial" w:eastAsia="仿宋_GB2312" w:cs="Arial"/>
          <w:color w:val="auto"/>
          <w:sz w:val="30"/>
          <w:szCs w:val="30"/>
          <w:u w:val="none"/>
          <w:lang w:val="en-US" w:eastAsia="zh-CN"/>
        </w:rPr>
        <w:t>6</w:t>
      </w:r>
      <w:r>
        <w:rPr>
          <w:rFonts w:hint="eastAsia" w:ascii="Arial" w:hAnsi="Arial" w:eastAsia="仿宋_GB2312" w:cs="Arial"/>
          <w:color w:val="auto"/>
          <w:sz w:val="30"/>
          <w:szCs w:val="30"/>
          <w:u w:val="none"/>
        </w:rPr>
        <w:t>日</w:t>
      </w:r>
      <w:r>
        <w:rPr>
          <w:rFonts w:hint="eastAsia" w:ascii="Arial" w:hAnsi="Arial" w:eastAsia="仿宋_GB2312" w:cs="Arial"/>
          <w:color w:val="auto"/>
          <w:sz w:val="30"/>
          <w:szCs w:val="30"/>
        </w:rPr>
        <w:t>前完成研招网调剂服务系统确认手续。</w:t>
      </w:r>
    </w:p>
    <w:p>
      <w:pPr>
        <w:pStyle w:val="5"/>
        <w:adjustRightInd w:val="0"/>
        <w:snapToGrid w:val="0"/>
        <w:spacing w:before="0" w:beforeAutospacing="0" w:after="0" w:afterAutospacing="0" w:line="300" w:lineRule="auto"/>
        <w:ind w:firstLine="602" w:firstLineChars="200"/>
        <w:rPr>
          <w:rFonts w:ascii="Arial" w:hAnsi="Arial" w:eastAsia="仿宋_GB2312" w:cs="Arial"/>
          <w:b/>
          <w:bCs/>
          <w:color w:val="auto"/>
          <w:sz w:val="30"/>
          <w:szCs w:val="30"/>
        </w:rPr>
      </w:pPr>
      <w:r>
        <w:rPr>
          <w:rFonts w:ascii="Arial" w:hAnsi="Arial" w:eastAsia="仿宋_GB2312" w:cs="Arial"/>
          <w:b/>
          <w:bCs/>
          <w:color w:val="auto"/>
          <w:sz w:val="30"/>
          <w:szCs w:val="30"/>
        </w:rPr>
        <w:t>二、第二阶段：学校统筹调剂复试</w:t>
      </w:r>
    </w:p>
    <w:p>
      <w:pPr>
        <w:pStyle w:val="5"/>
        <w:adjustRightInd w:val="0"/>
        <w:snapToGrid w:val="0"/>
        <w:spacing w:before="0" w:beforeAutospacing="0" w:after="0" w:afterAutospacing="0" w:line="300" w:lineRule="auto"/>
        <w:ind w:firstLine="602" w:firstLineChars="200"/>
        <w:rPr>
          <w:rFonts w:ascii="Arial" w:hAnsi="Arial" w:eastAsia="仿宋_GB2312" w:cs="Arial"/>
          <w:b/>
          <w:bCs/>
          <w:color w:val="auto"/>
          <w:sz w:val="30"/>
          <w:szCs w:val="30"/>
        </w:rPr>
      </w:pPr>
      <w:r>
        <w:rPr>
          <w:rFonts w:hint="eastAsia" w:ascii="Arial" w:hAnsi="Arial" w:eastAsia="仿宋_GB2312" w:cs="Arial"/>
          <w:b/>
          <w:bCs/>
          <w:color w:val="auto"/>
          <w:sz w:val="30"/>
          <w:szCs w:val="30"/>
        </w:rPr>
        <w:t>（一）</w:t>
      </w:r>
      <w:r>
        <w:rPr>
          <w:rFonts w:ascii="Arial" w:hAnsi="Arial" w:eastAsia="仿宋_GB2312" w:cs="Arial"/>
          <w:b/>
          <w:bCs/>
          <w:color w:val="auto"/>
          <w:sz w:val="30"/>
          <w:szCs w:val="30"/>
        </w:rPr>
        <w:t>对象：</w:t>
      </w:r>
    </w:p>
    <w:p>
      <w:pPr>
        <w:spacing w:line="500" w:lineRule="exact"/>
        <w:ind w:firstLine="600" w:firstLineChars="200"/>
        <w:rPr>
          <w:rFonts w:hint="eastAsia" w:ascii="Arial" w:hAnsi="Arial" w:eastAsia="仿宋_GB2312" w:cs="Arial"/>
          <w:color w:val="auto"/>
          <w:kern w:val="0"/>
          <w:sz w:val="30"/>
          <w:szCs w:val="30"/>
          <w:u w:val="none"/>
          <w:lang w:val="en-US" w:eastAsia="zh-CN" w:bidi="ar-SA"/>
        </w:rPr>
      </w:pPr>
      <w:r>
        <w:rPr>
          <w:rFonts w:hint="eastAsia" w:ascii="Arial" w:hAnsi="Arial" w:eastAsia="仿宋_GB2312" w:cs="Arial"/>
          <w:color w:val="auto"/>
          <w:sz w:val="30"/>
          <w:szCs w:val="30"/>
        </w:rPr>
        <w:t>1.</w:t>
      </w:r>
      <w:r>
        <w:rPr>
          <w:rFonts w:ascii="Arial" w:hAnsi="Arial" w:eastAsia="仿宋_GB2312" w:cs="Arial"/>
          <w:color w:val="auto"/>
          <w:sz w:val="30"/>
          <w:szCs w:val="30"/>
        </w:rPr>
        <w:t>第一志愿未进入院所复试名单的考生</w:t>
      </w:r>
      <w:r>
        <w:rPr>
          <w:rFonts w:hint="eastAsia" w:ascii="Arial" w:hAnsi="Arial" w:eastAsia="仿宋_GB2312" w:cs="Arial"/>
          <w:color w:val="auto"/>
          <w:kern w:val="0"/>
          <w:sz w:val="30"/>
          <w:szCs w:val="30"/>
          <w:u w:val="none"/>
          <w:lang w:val="en-US" w:eastAsia="zh-CN" w:bidi="ar-SA"/>
        </w:rPr>
        <w:t>（考生初试成绩不低于对应报考学科（类别）的学校线）</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hint="eastAsia" w:ascii="Arial" w:hAnsi="Arial" w:eastAsia="仿宋_GB2312" w:cs="Arial"/>
          <w:color w:val="auto"/>
          <w:sz w:val="30"/>
          <w:szCs w:val="30"/>
        </w:rPr>
        <w:t>2.</w:t>
      </w:r>
      <w:r>
        <w:rPr>
          <w:rFonts w:ascii="Arial" w:hAnsi="Arial" w:eastAsia="仿宋_GB2312" w:cs="Arial"/>
          <w:color w:val="auto"/>
          <w:sz w:val="30"/>
          <w:szCs w:val="30"/>
        </w:rPr>
        <w:t>参加院所内部统筹复试未被录取的考生</w:t>
      </w:r>
    </w:p>
    <w:p>
      <w:pPr>
        <w:pStyle w:val="5"/>
        <w:adjustRightInd w:val="0"/>
        <w:snapToGrid w:val="0"/>
        <w:spacing w:before="0" w:beforeAutospacing="0" w:after="0" w:afterAutospacing="0" w:line="300" w:lineRule="auto"/>
        <w:ind w:firstLine="600" w:firstLineChars="200"/>
        <w:rPr>
          <w:rFonts w:ascii="Arial" w:hAnsi="Arial" w:eastAsia="仿宋_GB2312" w:cs="Arial"/>
          <w:b/>
          <w:bCs/>
          <w:color w:val="auto"/>
          <w:sz w:val="30"/>
          <w:szCs w:val="30"/>
        </w:rPr>
      </w:pPr>
      <w:r>
        <w:rPr>
          <w:rFonts w:hint="eastAsia" w:ascii="Arial" w:hAnsi="Arial" w:eastAsia="仿宋_GB2312" w:cs="Arial"/>
          <w:color w:val="auto"/>
          <w:sz w:val="30"/>
          <w:szCs w:val="30"/>
        </w:rPr>
        <w:t>3.</w:t>
      </w:r>
      <w:r>
        <w:rPr>
          <w:rFonts w:ascii="Arial" w:hAnsi="Arial" w:eastAsia="仿宋_GB2312" w:cs="Arial"/>
          <w:color w:val="auto"/>
          <w:sz w:val="30"/>
          <w:szCs w:val="30"/>
        </w:rPr>
        <w:t>外校申请调剂到我校开放校外调剂专业的考生</w:t>
      </w:r>
    </w:p>
    <w:p>
      <w:pPr>
        <w:pStyle w:val="5"/>
        <w:adjustRightInd w:val="0"/>
        <w:snapToGrid w:val="0"/>
        <w:spacing w:before="0" w:beforeAutospacing="0" w:after="0" w:afterAutospacing="0" w:line="300" w:lineRule="auto"/>
        <w:ind w:firstLine="602" w:firstLineChars="200"/>
        <w:rPr>
          <w:rFonts w:hint="eastAsia" w:ascii="Arial" w:hAnsi="Arial" w:eastAsia="仿宋_GB2312" w:cs="Arial"/>
          <w:color w:val="auto"/>
          <w:sz w:val="30"/>
          <w:szCs w:val="30"/>
          <w:u w:val="none"/>
          <w:lang w:eastAsia="zh-CN"/>
        </w:rPr>
      </w:pPr>
      <w:r>
        <w:rPr>
          <w:rFonts w:hint="eastAsia" w:ascii="Arial" w:hAnsi="Arial" w:eastAsia="仿宋_GB2312" w:cs="Arial"/>
          <w:b/>
          <w:bCs/>
          <w:color w:val="auto"/>
          <w:sz w:val="30"/>
          <w:szCs w:val="30"/>
        </w:rPr>
        <w:t>（二）</w:t>
      </w:r>
      <w:r>
        <w:rPr>
          <w:rFonts w:ascii="Arial" w:hAnsi="Arial" w:eastAsia="仿宋_GB2312" w:cs="Arial"/>
          <w:b/>
          <w:bCs/>
          <w:color w:val="auto"/>
          <w:sz w:val="30"/>
          <w:szCs w:val="30"/>
        </w:rPr>
        <w:t>时间：</w:t>
      </w:r>
      <w:r>
        <w:rPr>
          <w:rFonts w:hint="eastAsia" w:ascii="Arial" w:hAnsi="Arial" w:eastAsia="仿宋_GB2312" w:cs="Arial"/>
          <w:color w:val="auto"/>
          <w:sz w:val="30"/>
          <w:szCs w:val="30"/>
          <w:u w:val="none"/>
        </w:rPr>
        <w:t>4</w:t>
      </w:r>
      <w:r>
        <w:rPr>
          <w:rFonts w:ascii="Arial" w:hAnsi="Arial" w:eastAsia="仿宋_GB2312" w:cs="Arial"/>
          <w:color w:val="auto"/>
          <w:sz w:val="30"/>
          <w:szCs w:val="30"/>
          <w:u w:val="none"/>
        </w:rPr>
        <w:t>月</w:t>
      </w:r>
      <w:r>
        <w:rPr>
          <w:rFonts w:hint="eastAsia" w:ascii="Arial" w:hAnsi="Arial" w:eastAsia="仿宋_GB2312" w:cs="Arial"/>
          <w:color w:val="auto"/>
          <w:sz w:val="30"/>
          <w:szCs w:val="30"/>
          <w:u w:val="none"/>
          <w:lang w:val="en-US" w:eastAsia="zh-CN"/>
        </w:rPr>
        <w:t>7</w:t>
      </w:r>
      <w:r>
        <w:rPr>
          <w:rFonts w:hint="eastAsia" w:ascii="Arial" w:hAnsi="Arial" w:eastAsia="仿宋_GB2312" w:cs="Arial"/>
          <w:color w:val="auto"/>
          <w:sz w:val="30"/>
          <w:szCs w:val="30"/>
          <w:u w:val="none"/>
        </w:rPr>
        <w:t>日</w:t>
      </w:r>
      <w:r>
        <w:rPr>
          <w:rFonts w:ascii="Arial" w:hAnsi="Arial" w:eastAsia="仿宋_GB2312" w:cs="Arial"/>
          <w:color w:val="auto"/>
          <w:sz w:val="30"/>
          <w:szCs w:val="30"/>
          <w:u w:val="none"/>
        </w:rPr>
        <w:t>～4月</w:t>
      </w:r>
      <w:r>
        <w:rPr>
          <w:rFonts w:hint="eastAsia" w:ascii="Arial" w:hAnsi="Arial" w:eastAsia="仿宋_GB2312" w:cs="Arial"/>
          <w:color w:val="auto"/>
          <w:sz w:val="30"/>
          <w:szCs w:val="30"/>
          <w:u w:val="none"/>
          <w:lang w:eastAsia="zh-CN"/>
        </w:rPr>
        <w:t>中下旬</w:t>
      </w:r>
    </w:p>
    <w:p>
      <w:pPr>
        <w:pStyle w:val="5"/>
        <w:adjustRightInd w:val="0"/>
        <w:snapToGrid w:val="0"/>
        <w:spacing w:before="0" w:beforeAutospacing="0" w:after="0" w:afterAutospacing="0" w:line="300" w:lineRule="auto"/>
        <w:ind w:firstLine="602" w:firstLineChars="200"/>
        <w:rPr>
          <w:rFonts w:ascii="Arial" w:hAnsi="Arial" w:eastAsia="仿宋_GB2312" w:cs="Arial"/>
          <w:color w:val="auto"/>
          <w:sz w:val="30"/>
          <w:szCs w:val="30"/>
        </w:rPr>
      </w:pPr>
      <w:r>
        <w:rPr>
          <w:rFonts w:hint="eastAsia" w:ascii="Arial" w:hAnsi="Arial" w:eastAsia="仿宋_GB2312" w:cs="Arial"/>
          <w:b/>
          <w:bCs/>
          <w:color w:val="auto"/>
          <w:sz w:val="30"/>
          <w:szCs w:val="30"/>
        </w:rPr>
        <w:t>（三）</w:t>
      </w:r>
      <w:r>
        <w:rPr>
          <w:rFonts w:ascii="Arial" w:hAnsi="Arial" w:eastAsia="仿宋_GB2312" w:cs="Arial"/>
          <w:b/>
          <w:bCs/>
          <w:color w:val="auto"/>
          <w:sz w:val="30"/>
          <w:szCs w:val="30"/>
        </w:rPr>
        <w:t>程序</w:t>
      </w:r>
      <w:r>
        <w:rPr>
          <w:rFonts w:hint="eastAsia" w:ascii="Arial" w:hAnsi="Arial" w:eastAsia="仿宋_GB2312" w:cs="Arial"/>
          <w:b/>
          <w:bCs/>
          <w:color w:val="auto"/>
          <w:sz w:val="30"/>
          <w:szCs w:val="30"/>
        </w:rPr>
        <w:t>与说明</w:t>
      </w:r>
      <w:r>
        <w:rPr>
          <w:rFonts w:ascii="Arial" w:hAnsi="Arial" w:eastAsia="仿宋_GB2312" w:cs="Arial"/>
          <w:b/>
          <w:bCs/>
          <w:color w:val="auto"/>
          <w:sz w:val="30"/>
          <w:szCs w:val="30"/>
        </w:rPr>
        <w:t>：</w:t>
      </w:r>
      <w:r>
        <w:rPr>
          <w:rFonts w:ascii="Arial" w:hAnsi="Arial" w:eastAsia="仿宋_GB2312" w:cs="Arial"/>
          <w:color w:val="auto"/>
          <w:sz w:val="30"/>
          <w:szCs w:val="30"/>
        </w:rPr>
        <w:t>院所上报接收</w:t>
      </w:r>
      <w:r>
        <w:rPr>
          <w:rFonts w:hint="eastAsia" w:ascii="Arial" w:hAnsi="Arial" w:eastAsia="仿宋_GB2312" w:cs="Arial"/>
          <w:color w:val="auto"/>
          <w:sz w:val="30"/>
          <w:szCs w:val="30"/>
        </w:rPr>
        <w:t>调剂的专业</w:t>
      </w:r>
      <w:r>
        <w:rPr>
          <w:rFonts w:ascii="Arial" w:hAnsi="Arial" w:eastAsia="仿宋_GB2312" w:cs="Arial"/>
          <w:color w:val="auto"/>
          <w:sz w:val="30"/>
          <w:szCs w:val="30"/>
        </w:rPr>
        <w:t>信息→→学校汇总后在调剂服务系统发布→→考生自主填报志愿→→学校确定专业复试名单→→学校通过调剂服务平台发复试通知→→考生接受复试通知→→院所组织复试→→登陆研招网调剂服务系统完成</w:t>
      </w:r>
      <w:r>
        <w:rPr>
          <w:rFonts w:hint="eastAsia" w:ascii="Arial" w:hAnsi="Arial" w:eastAsia="仿宋_GB2312" w:cs="Arial"/>
          <w:color w:val="auto"/>
          <w:sz w:val="30"/>
          <w:szCs w:val="30"/>
        </w:rPr>
        <w:t>其他</w:t>
      </w:r>
      <w:r>
        <w:rPr>
          <w:rFonts w:ascii="Arial" w:hAnsi="Arial" w:eastAsia="仿宋_GB2312" w:cs="Arial"/>
          <w:color w:val="auto"/>
          <w:sz w:val="30"/>
          <w:szCs w:val="30"/>
        </w:rPr>
        <w:t>手续</w:t>
      </w:r>
    </w:p>
    <w:p>
      <w:pPr>
        <w:pStyle w:val="5"/>
        <w:adjustRightInd w:val="0"/>
        <w:snapToGrid w:val="0"/>
        <w:spacing w:before="0" w:beforeAutospacing="0" w:after="0" w:afterAutospacing="0" w:line="300" w:lineRule="auto"/>
        <w:ind w:firstLine="600" w:firstLineChars="200"/>
        <w:rPr>
          <w:rFonts w:hint="eastAsia" w:ascii="Arial" w:hAnsi="Arial" w:eastAsia="仿宋_GB2312" w:cs="Arial"/>
          <w:color w:val="auto"/>
          <w:sz w:val="30"/>
          <w:szCs w:val="30"/>
          <w:u w:val="none"/>
        </w:rPr>
      </w:pPr>
      <w:r>
        <w:rPr>
          <w:rFonts w:ascii="Arial" w:hAnsi="Arial" w:eastAsia="仿宋_GB2312" w:cs="Arial"/>
          <w:color w:val="auto"/>
          <w:sz w:val="30"/>
          <w:szCs w:val="30"/>
        </w:rPr>
        <w:t>1.学校汇总各院所上报的接受调剂的专业信息与生源要求，在研招网调剂服务系统进行发布</w:t>
      </w:r>
      <w:r>
        <w:rPr>
          <w:rFonts w:hint="eastAsia" w:ascii="Arial" w:hAnsi="Arial" w:eastAsia="仿宋_GB2312" w:cs="Arial"/>
          <w:color w:val="auto"/>
          <w:sz w:val="30"/>
          <w:szCs w:val="30"/>
          <w:lang w:eastAsia="zh-CN"/>
        </w:rPr>
        <w:t>2022</w:t>
      </w:r>
      <w:r>
        <w:rPr>
          <w:rFonts w:ascii="Arial" w:hAnsi="Arial" w:eastAsia="仿宋_GB2312" w:cs="Arial"/>
          <w:color w:val="auto"/>
          <w:sz w:val="30"/>
          <w:szCs w:val="30"/>
        </w:rPr>
        <w:t>年硕士研究生调剂缺额专业，并保证开放调剂系统持续时间不低于12个小时，设定“调剂服务系统”志愿锁定时间36个小时。拟申请调剂考生与招生院所之间进行双向选择，我校一志愿考生可填报1～3个平行志愿</w:t>
      </w:r>
      <w:r>
        <w:rPr>
          <w:rFonts w:ascii="Arial" w:hAnsi="Arial" w:eastAsia="仿宋_GB2312" w:cs="Arial"/>
          <w:b/>
          <w:bCs/>
          <w:color w:val="auto"/>
          <w:sz w:val="30"/>
          <w:szCs w:val="30"/>
        </w:rPr>
        <w:t>（平行志愿没有先后之分）</w:t>
      </w:r>
      <w:r>
        <w:rPr>
          <w:rFonts w:ascii="Arial" w:hAnsi="Arial" w:eastAsia="仿宋_GB2312" w:cs="Arial"/>
          <w:color w:val="auto"/>
          <w:sz w:val="30"/>
          <w:szCs w:val="30"/>
        </w:rPr>
        <w:t>；外校考生限在可接受校外调剂的专业中选填1个志愿。复试名单按接受生源院所该专业招生计划</w:t>
      </w:r>
      <w:r>
        <w:rPr>
          <w:rFonts w:hint="eastAsia" w:ascii="Arial" w:hAnsi="Arial" w:eastAsia="仿宋_GB2312" w:cs="Arial"/>
          <w:color w:val="auto"/>
          <w:sz w:val="30"/>
          <w:szCs w:val="30"/>
          <w:lang w:eastAsia="zh-CN"/>
        </w:rPr>
        <w:t>不少于</w:t>
      </w:r>
      <w:r>
        <w:rPr>
          <w:rFonts w:hint="eastAsia" w:ascii="Arial" w:hAnsi="Arial" w:eastAsia="仿宋_GB2312" w:cs="Arial"/>
          <w:color w:val="auto"/>
          <w:sz w:val="30"/>
          <w:szCs w:val="30"/>
          <w:lang w:val="en-US" w:eastAsia="zh-CN"/>
        </w:rPr>
        <w:t>1:2</w:t>
      </w:r>
      <w:r>
        <w:rPr>
          <w:rFonts w:ascii="Arial" w:hAnsi="Arial" w:eastAsia="仿宋_GB2312" w:cs="Arial"/>
          <w:color w:val="auto"/>
          <w:sz w:val="30"/>
          <w:szCs w:val="30"/>
        </w:rPr>
        <w:t>比例，在申请考生中根据初试成绩由高到低排序确定</w:t>
      </w:r>
      <w:r>
        <w:rPr>
          <w:rFonts w:hint="eastAsia" w:ascii="Arial" w:hAnsi="Arial" w:eastAsia="仿宋_GB2312" w:cs="Arial"/>
          <w:color w:val="auto"/>
          <w:sz w:val="30"/>
          <w:szCs w:val="30"/>
          <w:lang w:eastAsia="zh-CN"/>
        </w:rPr>
        <w:t>，学校、</w:t>
      </w:r>
      <w:r>
        <w:rPr>
          <w:rFonts w:hint="eastAsia" w:ascii="Arial" w:hAnsi="Arial" w:eastAsia="仿宋_GB2312" w:cs="Arial"/>
          <w:color w:val="auto"/>
          <w:sz w:val="30"/>
          <w:szCs w:val="30"/>
          <w:u w:val="none"/>
        </w:rPr>
        <w:t>招生院所可根据生源实际情况，适当扩大比例。</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2.我校拟接收校外调剂的专业参见《复试录取</w:t>
      </w:r>
      <w:r>
        <w:rPr>
          <w:rFonts w:hint="eastAsia" w:ascii="Arial" w:hAnsi="Arial" w:eastAsia="仿宋_GB2312" w:cs="Arial"/>
          <w:color w:val="auto"/>
          <w:sz w:val="30"/>
          <w:szCs w:val="30"/>
          <w:u w:val="none"/>
        </w:rPr>
        <w:t>方案</w:t>
      </w:r>
      <w:r>
        <w:rPr>
          <w:rFonts w:ascii="Arial" w:hAnsi="Arial" w:eastAsia="仿宋_GB2312" w:cs="Arial"/>
          <w:color w:val="auto"/>
          <w:sz w:val="30"/>
          <w:szCs w:val="30"/>
        </w:rPr>
        <w:t>》，最终以研究生院官网对外公布，以及研招网调剂服务平台发布的信息为准。</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3.对申请同一院所同一专业、初试科目完全相同的调剂考生，院所应当按考生初试成绩择优</w:t>
      </w:r>
      <w:r>
        <w:rPr>
          <w:rFonts w:hint="eastAsia" w:ascii="Arial" w:hAnsi="Arial" w:eastAsia="仿宋_GB2312" w:cs="Arial"/>
          <w:color w:val="auto"/>
          <w:sz w:val="30"/>
          <w:szCs w:val="30"/>
          <w:u w:val="none"/>
        </w:rPr>
        <w:t>遴选</w:t>
      </w:r>
      <w:r>
        <w:rPr>
          <w:rFonts w:ascii="Arial" w:hAnsi="Arial" w:eastAsia="仿宋_GB2312" w:cs="Arial"/>
          <w:color w:val="auto"/>
          <w:sz w:val="30"/>
          <w:szCs w:val="30"/>
        </w:rPr>
        <w:t>进入复试的考生名单，不得简单以考生提交调剂志愿的时间先后顺序等非学业水平标准作为遴选依据。</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4.招生院所要严格执行国家政策规定，不得按单位、行业、地域、学校层次类别等限定生源范围，也不得设置其他歧视性条件。</w:t>
      </w:r>
    </w:p>
    <w:p>
      <w:pPr>
        <w:pStyle w:val="5"/>
        <w:adjustRightInd w:val="0"/>
        <w:snapToGrid w:val="0"/>
        <w:spacing w:before="0" w:beforeAutospacing="0" w:after="0" w:afterAutospacing="0" w:line="300" w:lineRule="auto"/>
        <w:ind w:firstLine="602" w:firstLineChars="200"/>
        <w:rPr>
          <w:rFonts w:ascii="Arial" w:hAnsi="Arial" w:eastAsia="仿宋_GB2312" w:cs="Arial"/>
          <w:b/>
          <w:bCs/>
          <w:color w:val="auto"/>
          <w:sz w:val="30"/>
          <w:szCs w:val="30"/>
        </w:rPr>
      </w:pPr>
      <w:r>
        <w:rPr>
          <w:rFonts w:hint="eastAsia" w:ascii="Arial" w:hAnsi="Arial" w:eastAsia="仿宋_GB2312" w:cs="Arial"/>
          <w:b/>
          <w:bCs/>
          <w:color w:val="auto"/>
          <w:sz w:val="30"/>
          <w:szCs w:val="30"/>
        </w:rPr>
        <w:t>（四）</w:t>
      </w:r>
      <w:r>
        <w:rPr>
          <w:rFonts w:ascii="Arial" w:hAnsi="Arial" w:eastAsia="仿宋_GB2312" w:cs="Arial"/>
          <w:b/>
          <w:bCs/>
          <w:color w:val="auto"/>
          <w:sz w:val="30"/>
          <w:szCs w:val="30"/>
        </w:rPr>
        <w:t>要求：</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1.符合调剂基本条件和调入院所、专业要求的规定条件；</w:t>
      </w:r>
    </w:p>
    <w:p>
      <w:pPr>
        <w:pStyle w:val="5"/>
        <w:adjustRightInd w:val="0"/>
        <w:snapToGrid w:val="0"/>
        <w:spacing w:before="0" w:beforeAutospacing="0" w:after="0" w:afterAutospacing="0" w:line="300" w:lineRule="auto"/>
        <w:ind w:firstLine="600" w:firstLineChars="200"/>
        <w:rPr>
          <w:rFonts w:hint="eastAsia" w:ascii="Arial" w:hAnsi="Arial" w:eastAsia="仿宋_GB2312" w:cs="Arial"/>
          <w:color w:val="auto"/>
          <w:sz w:val="30"/>
          <w:szCs w:val="30"/>
          <w:lang w:eastAsia="zh-CN"/>
        </w:rPr>
      </w:pPr>
      <w:r>
        <w:rPr>
          <w:rFonts w:ascii="Arial" w:hAnsi="Arial" w:eastAsia="仿宋_GB2312" w:cs="Arial"/>
          <w:color w:val="auto"/>
          <w:sz w:val="30"/>
          <w:szCs w:val="30"/>
        </w:rPr>
        <w:t>2.不接收同等学力、非全日制本科毕业的调剂生源；</w:t>
      </w:r>
      <w:r>
        <w:rPr>
          <w:rFonts w:hint="eastAsia" w:ascii="Arial" w:hAnsi="Arial" w:eastAsia="仿宋_GB2312" w:cs="Arial"/>
          <w:color w:val="auto"/>
          <w:sz w:val="30"/>
          <w:szCs w:val="30"/>
          <w:lang w:eastAsia="zh-CN"/>
        </w:rPr>
        <w:t>不接收报考非全日制硕士研究生的调剂生源；</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3.第一志愿报考大学生士兵专项计划的考生不得向我校普通全日制研究生申请调剂。</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4.其他参照学校与院所通知公告执行。</w:t>
      </w:r>
    </w:p>
    <w:p>
      <w:pPr>
        <w:pStyle w:val="5"/>
        <w:adjustRightInd w:val="0"/>
        <w:snapToGrid w:val="0"/>
        <w:spacing w:before="0" w:beforeAutospacing="0" w:after="0" w:afterAutospacing="0" w:line="300" w:lineRule="auto"/>
        <w:ind w:firstLine="602" w:firstLineChars="200"/>
        <w:rPr>
          <w:rFonts w:ascii="Arial" w:hAnsi="Arial" w:eastAsia="仿宋_GB2312" w:cs="Arial"/>
          <w:b/>
          <w:bCs/>
          <w:color w:val="auto"/>
          <w:sz w:val="30"/>
          <w:szCs w:val="30"/>
        </w:rPr>
      </w:pPr>
      <w:r>
        <w:rPr>
          <w:rFonts w:hint="eastAsia" w:ascii="Arial" w:hAnsi="Arial" w:eastAsia="仿宋_GB2312" w:cs="Arial"/>
          <w:b/>
          <w:bCs/>
          <w:color w:val="auto"/>
          <w:sz w:val="30"/>
          <w:szCs w:val="30"/>
        </w:rPr>
        <w:t>（五）</w:t>
      </w:r>
      <w:r>
        <w:rPr>
          <w:rFonts w:ascii="Arial" w:hAnsi="Arial" w:eastAsia="仿宋_GB2312" w:cs="Arial"/>
          <w:b/>
          <w:bCs/>
          <w:color w:val="auto"/>
          <w:sz w:val="30"/>
          <w:szCs w:val="30"/>
        </w:rPr>
        <w:t>注意：</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1.考生接到研招网复试通知后须在通知规定时间内到研招网进行确认，过期未确认者视为放弃复试资格。未接到复试通知的考生我校不再安排复试。</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2.调剂考生必须保证提交的材料真实有效，对不符合我校调剂条件的考生，一经查实，立即取消其复试资格，即使已接受我校发送的复试通知，我校也有权取消其复试资格。若因不符合我校调剂要求或弄虚作假而造成无法复试或者无法通过上级招考部门录取检查的，由考生自行负责。</w:t>
      </w:r>
    </w:p>
    <w:p>
      <w:pPr>
        <w:pStyle w:val="5"/>
        <w:adjustRightInd w:val="0"/>
        <w:snapToGrid w:val="0"/>
        <w:spacing w:before="0" w:beforeAutospacing="0" w:after="0" w:afterAutospacing="0" w:line="300" w:lineRule="auto"/>
        <w:ind w:firstLine="602" w:firstLineChars="200"/>
        <w:rPr>
          <w:rFonts w:ascii="Arial" w:hAnsi="Arial" w:eastAsia="仿宋_GB2312" w:cs="Arial"/>
          <w:b/>
          <w:bCs/>
          <w:color w:val="auto"/>
          <w:sz w:val="30"/>
          <w:szCs w:val="30"/>
        </w:rPr>
      </w:pPr>
      <w:r>
        <w:rPr>
          <w:rFonts w:ascii="Arial" w:hAnsi="Arial" w:eastAsia="仿宋_GB2312" w:cs="Arial"/>
          <w:b/>
          <w:bCs/>
          <w:color w:val="auto"/>
          <w:sz w:val="30"/>
          <w:szCs w:val="30"/>
        </w:rPr>
        <w:t>三、内部调整或调剂条件：</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根据教育部有关规定，结合学校实际，相关考生须满足以下条件：</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1.符合调入专业的报考条件；</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2.所有申请考生的初试成绩必须符合第一志愿报考专业在调入地区的全国初试成绩基本要求，并达到我校专业的复试成绩要求；</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3.第一志愿报考专业与申请调入专业相同或相近；</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4.第一志愿报考专业的初试科目与调入专业初试科目相同或相近，其中统考科目应相同</w:t>
      </w:r>
      <w:r>
        <w:rPr>
          <w:rFonts w:hint="eastAsia" w:ascii="Arial" w:hAnsi="Arial" w:eastAsia="仿宋_GB2312" w:cs="Arial"/>
          <w:color w:val="auto"/>
          <w:sz w:val="30"/>
          <w:szCs w:val="30"/>
          <w:u w:val="none"/>
        </w:rPr>
        <w:t>或相近</w:t>
      </w:r>
      <w:r>
        <w:rPr>
          <w:rFonts w:ascii="Arial" w:hAnsi="Arial" w:eastAsia="仿宋_GB2312" w:cs="Arial"/>
          <w:color w:val="auto"/>
          <w:sz w:val="30"/>
          <w:szCs w:val="30"/>
        </w:rPr>
        <w:t>；</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5.报考中医［1057］专业学位的考生可按相关政策申请调入其他专业，报考其他专业的考生不可调剂到中医［1057］专业学位。</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6.满足接收生源院所及专业所规定的其他条件。</w:t>
      </w:r>
    </w:p>
    <w:p>
      <w:pPr>
        <w:pStyle w:val="5"/>
        <w:adjustRightInd w:val="0"/>
        <w:snapToGrid w:val="0"/>
        <w:spacing w:before="0" w:beforeAutospacing="0" w:after="0" w:afterAutospacing="0" w:line="300" w:lineRule="auto"/>
        <w:ind w:firstLine="602" w:firstLineChars="200"/>
        <w:rPr>
          <w:rFonts w:ascii="Arial" w:hAnsi="Arial" w:eastAsia="仿宋_GB2312" w:cs="Arial"/>
          <w:b/>
          <w:bCs/>
          <w:color w:val="auto"/>
          <w:sz w:val="30"/>
          <w:szCs w:val="30"/>
        </w:rPr>
      </w:pPr>
      <w:r>
        <w:rPr>
          <w:rFonts w:ascii="Arial" w:hAnsi="Arial" w:eastAsia="仿宋_GB2312" w:cs="Arial"/>
          <w:b/>
          <w:bCs/>
          <w:color w:val="auto"/>
          <w:sz w:val="30"/>
          <w:szCs w:val="30"/>
        </w:rPr>
        <w:t>四、说明</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1.对个别一志愿上线人数不足，或在全校统筹复试后仍未完成招生计划任务的院所和专业，学校保留视各专业复试结果微调招生计划的权利。</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2.</w:t>
      </w:r>
      <w:r>
        <w:rPr>
          <w:rFonts w:hint="eastAsia" w:ascii="Arial" w:hAnsi="Arial" w:eastAsia="仿宋_GB2312" w:cs="Arial"/>
          <w:color w:val="auto"/>
          <w:sz w:val="30"/>
          <w:szCs w:val="30"/>
        </w:rPr>
        <w:t>第一志愿申请内部调剂的</w:t>
      </w:r>
      <w:r>
        <w:rPr>
          <w:rFonts w:ascii="Arial" w:hAnsi="Arial" w:eastAsia="仿宋_GB2312" w:cs="Arial"/>
          <w:color w:val="auto"/>
          <w:sz w:val="30"/>
          <w:szCs w:val="30"/>
        </w:rPr>
        <w:t>考生应该合理填报志愿、注重搭配，若平行志愿间存在冲突影响复试名单确定，学校有权对考生志愿进行主动选择。</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3.第一志愿报考[1057]中医专硕的考生参加调配或调剂复试的前提条件是初试成绩必须达到学校[1057]中医专硕的复试分数线要求，即学校上线考生。</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4.根据规定，调整或调剂复试都须通过“中国研究生招生信息网”（研招网）的“全国硕士研究生招生调剂服务系统”进行，未通过该系统的信息无效。</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bookmarkStart w:id="0" w:name="_GoBack"/>
      <w:bookmarkEnd w:id="0"/>
      <w:r>
        <w:rPr>
          <w:rFonts w:ascii="Arial" w:hAnsi="Arial" w:eastAsia="仿宋_GB2312" w:cs="Arial"/>
          <w:color w:val="auto"/>
          <w:sz w:val="30"/>
          <w:szCs w:val="30"/>
        </w:rPr>
        <w:t>5.初试成绩达到学校分数线，但未能在第一阶段院所内部统筹复试进行复试或录取，同时也未能在第二阶段学校统筹调剂复试进行复试或录取者，</w:t>
      </w:r>
      <w:r>
        <w:rPr>
          <w:rFonts w:hint="eastAsia" w:ascii="Arial" w:hAnsi="Arial" w:eastAsia="仿宋_GB2312" w:cs="Arial"/>
          <w:color w:val="auto"/>
          <w:sz w:val="30"/>
          <w:szCs w:val="30"/>
        </w:rPr>
        <w:t>可</w:t>
      </w:r>
      <w:r>
        <w:rPr>
          <w:rFonts w:ascii="Arial" w:hAnsi="Arial" w:eastAsia="仿宋_GB2312" w:cs="Arial"/>
          <w:color w:val="auto"/>
          <w:sz w:val="30"/>
          <w:szCs w:val="30"/>
        </w:rPr>
        <w:t>自行向外校调剂。考生可登录中国研招网调剂平台，查阅外校调剂信息、发送调剂申请。该申请中会包含考生所有基本信息及初试成绩，且已经过教育部审核，为真实有效信息，我校不为考生推荐调剂学校、不向考生出具书面成绩单。</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6.已进入我校复试总名单的考生，如已参加外校调剂复试，若存在以下两种情况，考生将无法被我校录取：</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（1）外校复试时间与我校复试时间冲突，未参加我校复试；</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（2）已接受其他院校在研招网调剂服务平台发出的待录取通知。</w:t>
      </w:r>
    </w:p>
    <w:p>
      <w:pPr>
        <w:pStyle w:val="5"/>
        <w:adjustRightInd w:val="0"/>
        <w:snapToGrid w:val="0"/>
        <w:spacing w:before="0" w:beforeAutospacing="0" w:after="0" w:afterAutospacing="0" w:line="300" w:lineRule="auto"/>
        <w:ind w:firstLine="600" w:firstLineChars="200"/>
        <w:rPr>
          <w:rFonts w:ascii="Arial" w:hAnsi="Arial" w:eastAsia="仿宋_GB2312" w:cs="Arial"/>
          <w:color w:val="auto"/>
          <w:sz w:val="30"/>
          <w:szCs w:val="30"/>
        </w:rPr>
      </w:pPr>
      <w:r>
        <w:rPr>
          <w:rFonts w:ascii="Arial" w:hAnsi="Arial" w:eastAsia="仿宋_GB2312" w:cs="Arial"/>
          <w:color w:val="auto"/>
          <w:sz w:val="30"/>
          <w:szCs w:val="30"/>
        </w:rPr>
        <w:t>该办法最终解释权在广州中医药大学研究生院。</w:t>
      </w:r>
    </w:p>
    <w:p>
      <w:pPr>
        <w:pStyle w:val="5"/>
        <w:wordWrap w:val="0"/>
        <w:adjustRightInd w:val="0"/>
        <w:snapToGrid w:val="0"/>
        <w:spacing w:before="0" w:beforeAutospacing="0" w:after="0" w:afterAutospacing="0" w:line="300" w:lineRule="auto"/>
        <w:ind w:firstLine="600" w:firstLineChars="200"/>
        <w:jc w:val="right"/>
        <w:rPr>
          <w:rFonts w:ascii="Arial" w:hAnsi="Arial" w:eastAsia="仿宋_GB2312" w:cs="Arial"/>
          <w:color w:val="auto"/>
          <w:sz w:val="30"/>
          <w:szCs w:val="30"/>
        </w:rPr>
      </w:pPr>
      <w:r>
        <w:rPr>
          <w:rFonts w:ascii="Arial" w:hAnsi="Arial" w:eastAsia="仿宋_GB2312" w:cs="Arial"/>
          <w:color w:val="auto"/>
          <w:sz w:val="30"/>
          <w:szCs w:val="30"/>
        </w:rPr>
        <w:t xml:space="preserve">广州中医药大学   </w:t>
      </w:r>
    </w:p>
    <w:p>
      <w:pPr>
        <w:pStyle w:val="5"/>
        <w:wordWrap w:val="0"/>
        <w:adjustRightInd w:val="0"/>
        <w:snapToGrid w:val="0"/>
        <w:spacing w:before="0" w:beforeAutospacing="0" w:after="0" w:afterAutospacing="0" w:line="300" w:lineRule="auto"/>
        <w:ind w:firstLine="600" w:firstLineChars="200"/>
        <w:jc w:val="right"/>
        <w:rPr>
          <w:rFonts w:ascii="Arial" w:hAnsi="Arial" w:cs="Arial"/>
          <w:color w:val="auto"/>
        </w:rPr>
      </w:pPr>
      <w:r>
        <w:rPr>
          <w:rFonts w:ascii="Arial" w:hAnsi="Arial" w:eastAsia="仿宋_GB2312" w:cs="Arial"/>
          <w:color w:val="auto"/>
          <w:sz w:val="30"/>
          <w:szCs w:val="30"/>
        </w:rPr>
        <w:t>二〇二</w:t>
      </w:r>
      <w:r>
        <w:rPr>
          <w:rFonts w:hint="eastAsia" w:ascii="Arial" w:hAnsi="Arial" w:eastAsia="仿宋_GB2312" w:cs="Arial"/>
          <w:color w:val="auto"/>
          <w:sz w:val="30"/>
          <w:szCs w:val="30"/>
          <w:lang w:eastAsia="zh-CN"/>
        </w:rPr>
        <w:t>二</w:t>
      </w:r>
      <w:r>
        <w:rPr>
          <w:rFonts w:ascii="Arial" w:hAnsi="Arial" w:eastAsia="仿宋_GB2312" w:cs="Arial"/>
          <w:color w:val="auto"/>
          <w:sz w:val="30"/>
          <w:szCs w:val="30"/>
        </w:rPr>
        <w:t>年</w:t>
      </w:r>
      <w:r>
        <w:rPr>
          <w:rFonts w:hint="eastAsia" w:ascii="Arial" w:hAnsi="Arial" w:eastAsia="仿宋_GB2312" w:cs="Arial"/>
          <w:color w:val="auto"/>
          <w:sz w:val="30"/>
          <w:szCs w:val="30"/>
        </w:rPr>
        <w:t>三</w:t>
      </w:r>
      <w:r>
        <w:rPr>
          <w:rFonts w:ascii="Arial" w:hAnsi="Arial" w:eastAsia="仿宋_GB2312" w:cs="Arial"/>
          <w:color w:val="auto"/>
          <w:sz w:val="30"/>
          <w:szCs w:val="30"/>
        </w:rPr>
        <w:t>月</w:t>
      </w:r>
      <w:r>
        <w:rPr>
          <w:rFonts w:hint="eastAsia" w:ascii="Arial" w:hAnsi="Arial" w:eastAsia="仿宋_GB2312" w:cs="Arial"/>
          <w:color w:val="auto"/>
          <w:sz w:val="30"/>
          <w:szCs w:val="30"/>
          <w:lang w:eastAsia="zh-CN"/>
        </w:rPr>
        <w:t>二十五</w:t>
      </w:r>
      <w:r>
        <w:rPr>
          <w:rFonts w:ascii="Arial" w:hAnsi="Arial" w:eastAsia="仿宋_GB2312" w:cs="Arial"/>
          <w:color w:val="auto"/>
          <w:sz w:val="30"/>
          <w:szCs w:val="30"/>
        </w:rPr>
        <w:t>日</w:t>
      </w:r>
    </w:p>
    <w:sectPr>
      <w:footerReference r:id="rId3" w:type="default"/>
      <w:pgSz w:w="11906" w:h="16838"/>
      <w:pgMar w:top="1134" w:right="1701" w:bottom="1134" w:left="170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PAGE  \* MERGEFORMAT </w:instrText>
                          </w:r>
                          <w:r>
                            <w:rPr>
                              <w:rFonts w:ascii="Arial" w:hAnsi="Arial" w:cs="Arial"/>
                              <w:sz w:val="28"/>
                              <w:szCs w:val="28"/>
                            </w:rPr>
                            <w:fldChar w:fldCharType="separate"/>
                          </w:r>
                          <w:r>
                            <w:rPr>
                              <w:rFonts w:ascii="Arial" w:hAnsi="Arial" w:cs="Arial"/>
                              <w:sz w:val="28"/>
                              <w:szCs w:val="28"/>
                            </w:rPr>
                            <w:t>- 1 -</w:t>
                          </w:r>
                          <w:r>
                            <w:rPr>
                              <w:rFonts w:ascii="Arial" w:hAnsi="Arial" w:cs="Arial"/>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PAGE  \* MERGEFORMAT </w:instrText>
                    </w:r>
                    <w:r>
                      <w:rPr>
                        <w:rFonts w:ascii="Arial" w:hAnsi="Arial" w:cs="Arial"/>
                        <w:sz w:val="28"/>
                        <w:szCs w:val="28"/>
                      </w:rPr>
                      <w:fldChar w:fldCharType="separate"/>
                    </w:r>
                    <w:r>
                      <w:rPr>
                        <w:rFonts w:ascii="Arial" w:hAnsi="Arial" w:cs="Arial"/>
                        <w:sz w:val="28"/>
                        <w:szCs w:val="28"/>
                      </w:rPr>
                      <w:t>- 1 -</w:t>
                    </w:r>
                    <w:r>
                      <w:rPr>
                        <w:rFonts w:ascii="Arial" w:hAnsi="Arial" w:cs="Arial"/>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B530D"/>
    <w:rsid w:val="003402F4"/>
    <w:rsid w:val="003860E8"/>
    <w:rsid w:val="003F1C9A"/>
    <w:rsid w:val="005F2F5B"/>
    <w:rsid w:val="005F3E6B"/>
    <w:rsid w:val="00642D02"/>
    <w:rsid w:val="007E294F"/>
    <w:rsid w:val="00873122"/>
    <w:rsid w:val="00883538"/>
    <w:rsid w:val="008F7486"/>
    <w:rsid w:val="00AA2644"/>
    <w:rsid w:val="00AD781F"/>
    <w:rsid w:val="00D536AC"/>
    <w:rsid w:val="00E36B9B"/>
    <w:rsid w:val="00E92496"/>
    <w:rsid w:val="00EA5267"/>
    <w:rsid w:val="00F715E7"/>
    <w:rsid w:val="01076680"/>
    <w:rsid w:val="01143AD3"/>
    <w:rsid w:val="01DE2048"/>
    <w:rsid w:val="01E72F7F"/>
    <w:rsid w:val="01ED311C"/>
    <w:rsid w:val="0299310C"/>
    <w:rsid w:val="030E47BB"/>
    <w:rsid w:val="03215B62"/>
    <w:rsid w:val="040572E5"/>
    <w:rsid w:val="042D0E23"/>
    <w:rsid w:val="046030DA"/>
    <w:rsid w:val="04680559"/>
    <w:rsid w:val="04A846B8"/>
    <w:rsid w:val="04F21380"/>
    <w:rsid w:val="067D5729"/>
    <w:rsid w:val="069F2FDC"/>
    <w:rsid w:val="06AE5FC4"/>
    <w:rsid w:val="06CF4A6E"/>
    <w:rsid w:val="06D46657"/>
    <w:rsid w:val="06FE342E"/>
    <w:rsid w:val="080305C1"/>
    <w:rsid w:val="08172657"/>
    <w:rsid w:val="084C2A9E"/>
    <w:rsid w:val="08A17621"/>
    <w:rsid w:val="08A37F42"/>
    <w:rsid w:val="08BD3D1D"/>
    <w:rsid w:val="08E42490"/>
    <w:rsid w:val="09247759"/>
    <w:rsid w:val="09571DDB"/>
    <w:rsid w:val="0981374A"/>
    <w:rsid w:val="0A671CEA"/>
    <w:rsid w:val="0B3B3AC4"/>
    <w:rsid w:val="0BF775D3"/>
    <w:rsid w:val="0C7C2BF7"/>
    <w:rsid w:val="0CAB107A"/>
    <w:rsid w:val="0E5A768F"/>
    <w:rsid w:val="0E696694"/>
    <w:rsid w:val="0E752134"/>
    <w:rsid w:val="0F084CC0"/>
    <w:rsid w:val="0F592B35"/>
    <w:rsid w:val="0F615C5D"/>
    <w:rsid w:val="0F6A5CF7"/>
    <w:rsid w:val="0F841B0B"/>
    <w:rsid w:val="0FA06285"/>
    <w:rsid w:val="0FCA3237"/>
    <w:rsid w:val="0FCE5DB9"/>
    <w:rsid w:val="0FD262D1"/>
    <w:rsid w:val="0FE906F0"/>
    <w:rsid w:val="100010B7"/>
    <w:rsid w:val="107930FA"/>
    <w:rsid w:val="10A70D2E"/>
    <w:rsid w:val="10D026AF"/>
    <w:rsid w:val="10DD2B63"/>
    <w:rsid w:val="129A098B"/>
    <w:rsid w:val="13005E98"/>
    <w:rsid w:val="13397FAD"/>
    <w:rsid w:val="135B4115"/>
    <w:rsid w:val="137067B6"/>
    <w:rsid w:val="138F7261"/>
    <w:rsid w:val="13CE75E7"/>
    <w:rsid w:val="13FE7E45"/>
    <w:rsid w:val="1499724D"/>
    <w:rsid w:val="14D533FA"/>
    <w:rsid w:val="14F60440"/>
    <w:rsid w:val="1535097A"/>
    <w:rsid w:val="153E13AC"/>
    <w:rsid w:val="158D23B7"/>
    <w:rsid w:val="15B06040"/>
    <w:rsid w:val="15C87221"/>
    <w:rsid w:val="161F7E5B"/>
    <w:rsid w:val="16306880"/>
    <w:rsid w:val="16370751"/>
    <w:rsid w:val="165006DC"/>
    <w:rsid w:val="165B5AE5"/>
    <w:rsid w:val="16DD3CB0"/>
    <w:rsid w:val="16DF2A92"/>
    <w:rsid w:val="1733143E"/>
    <w:rsid w:val="17525567"/>
    <w:rsid w:val="17ED34E8"/>
    <w:rsid w:val="18582E5A"/>
    <w:rsid w:val="18583669"/>
    <w:rsid w:val="18A6090D"/>
    <w:rsid w:val="18BC6D16"/>
    <w:rsid w:val="18DA645D"/>
    <w:rsid w:val="192B530D"/>
    <w:rsid w:val="19343D8E"/>
    <w:rsid w:val="194C506D"/>
    <w:rsid w:val="19D028D9"/>
    <w:rsid w:val="1A285FA8"/>
    <w:rsid w:val="1A5115C8"/>
    <w:rsid w:val="1AD210BD"/>
    <w:rsid w:val="1AF62434"/>
    <w:rsid w:val="1B60510C"/>
    <w:rsid w:val="1BDF7EA3"/>
    <w:rsid w:val="1C1A319B"/>
    <w:rsid w:val="1C2C175E"/>
    <w:rsid w:val="1C40408C"/>
    <w:rsid w:val="1C40656F"/>
    <w:rsid w:val="1C724750"/>
    <w:rsid w:val="1C8A3219"/>
    <w:rsid w:val="1C8B4A93"/>
    <w:rsid w:val="1CC92869"/>
    <w:rsid w:val="1CF95331"/>
    <w:rsid w:val="1D476134"/>
    <w:rsid w:val="1E002FCC"/>
    <w:rsid w:val="1EA057DB"/>
    <w:rsid w:val="1EBE48DF"/>
    <w:rsid w:val="1EC95DCB"/>
    <w:rsid w:val="1EEA18F7"/>
    <w:rsid w:val="1EF0776D"/>
    <w:rsid w:val="1F1A4C8E"/>
    <w:rsid w:val="1F416FDC"/>
    <w:rsid w:val="1FB54AC5"/>
    <w:rsid w:val="1FC84A2E"/>
    <w:rsid w:val="1FCB07FC"/>
    <w:rsid w:val="20075ACF"/>
    <w:rsid w:val="200C200C"/>
    <w:rsid w:val="202D0FD5"/>
    <w:rsid w:val="203004CE"/>
    <w:rsid w:val="2040591C"/>
    <w:rsid w:val="208C66C6"/>
    <w:rsid w:val="20CD515E"/>
    <w:rsid w:val="20F14441"/>
    <w:rsid w:val="21E66262"/>
    <w:rsid w:val="21FD3710"/>
    <w:rsid w:val="22357586"/>
    <w:rsid w:val="229D07D4"/>
    <w:rsid w:val="229F449B"/>
    <w:rsid w:val="231B3CA0"/>
    <w:rsid w:val="232D7E58"/>
    <w:rsid w:val="236F4AA5"/>
    <w:rsid w:val="241976D4"/>
    <w:rsid w:val="241D331F"/>
    <w:rsid w:val="245B2104"/>
    <w:rsid w:val="24605A33"/>
    <w:rsid w:val="24652286"/>
    <w:rsid w:val="247E7E1D"/>
    <w:rsid w:val="248927BA"/>
    <w:rsid w:val="259A7924"/>
    <w:rsid w:val="264474E3"/>
    <w:rsid w:val="265A7B22"/>
    <w:rsid w:val="26833948"/>
    <w:rsid w:val="26AD6754"/>
    <w:rsid w:val="277B17C5"/>
    <w:rsid w:val="28722F39"/>
    <w:rsid w:val="28845EE8"/>
    <w:rsid w:val="288A7BCA"/>
    <w:rsid w:val="28C14FC0"/>
    <w:rsid w:val="28D27CAD"/>
    <w:rsid w:val="290334A4"/>
    <w:rsid w:val="29B02028"/>
    <w:rsid w:val="2A7A1BC2"/>
    <w:rsid w:val="2ABD1A74"/>
    <w:rsid w:val="2ACB117A"/>
    <w:rsid w:val="2ADD6D19"/>
    <w:rsid w:val="2B47204D"/>
    <w:rsid w:val="2BCB514D"/>
    <w:rsid w:val="2C1F1B07"/>
    <w:rsid w:val="2C6D5BC0"/>
    <w:rsid w:val="2C8D6E7A"/>
    <w:rsid w:val="2CF70684"/>
    <w:rsid w:val="2CFB097D"/>
    <w:rsid w:val="2DEE78D7"/>
    <w:rsid w:val="2E0B4AAC"/>
    <w:rsid w:val="2E714EC3"/>
    <w:rsid w:val="2E7D712A"/>
    <w:rsid w:val="2EF54A41"/>
    <w:rsid w:val="2EF90213"/>
    <w:rsid w:val="305E3EFD"/>
    <w:rsid w:val="31312060"/>
    <w:rsid w:val="31380E16"/>
    <w:rsid w:val="31E00A6C"/>
    <w:rsid w:val="32574076"/>
    <w:rsid w:val="330556C6"/>
    <w:rsid w:val="339414B2"/>
    <w:rsid w:val="33E95209"/>
    <w:rsid w:val="345D4CDC"/>
    <w:rsid w:val="34E647A6"/>
    <w:rsid w:val="351F4E70"/>
    <w:rsid w:val="356602BF"/>
    <w:rsid w:val="35E93C2C"/>
    <w:rsid w:val="361C39E7"/>
    <w:rsid w:val="362B788C"/>
    <w:rsid w:val="36DF21C3"/>
    <w:rsid w:val="36E21B9D"/>
    <w:rsid w:val="3735535C"/>
    <w:rsid w:val="3747412F"/>
    <w:rsid w:val="374915C0"/>
    <w:rsid w:val="376827BB"/>
    <w:rsid w:val="37697AF0"/>
    <w:rsid w:val="376F4CD8"/>
    <w:rsid w:val="37895B8B"/>
    <w:rsid w:val="37D750EA"/>
    <w:rsid w:val="37F94DC5"/>
    <w:rsid w:val="381F0F56"/>
    <w:rsid w:val="385F7662"/>
    <w:rsid w:val="386D54E3"/>
    <w:rsid w:val="390062D5"/>
    <w:rsid w:val="391C672C"/>
    <w:rsid w:val="39522BC0"/>
    <w:rsid w:val="39536673"/>
    <w:rsid w:val="395403FE"/>
    <w:rsid w:val="3A3E1305"/>
    <w:rsid w:val="3A78532F"/>
    <w:rsid w:val="3A8269E0"/>
    <w:rsid w:val="3B3F6790"/>
    <w:rsid w:val="3BA26327"/>
    <w:rsid w:val="3C4E71B9"/>
    <w:rsid w:val="3CAF5D06"/>
    <w:rsid w:val="3CB90C28"/>
    <w:rsid w:val="3D6314FE"/>
    <w:rsid w:val="3E271120"/>
    <w:rsid w:val="3E391E19"/>
    <w:rsid w:val="3E7952BC"/>
    <w:rsid w:val="3F4059A1"/>
    <w:rsid w:val="3F6E6801"/>
    <w:rsid w:val="3F6F2B93"/>
    <w:rsid w:val="3F730A81"/>
    <w:rsid w:val="3FCF79E2"/>
    <w:rsid w:val="40034120"/>
    <w:rsid w:val="402F3DF8"/>
    <w:rsid w:val="404B19D9"/>
    <w:rsid w:val="41127E33"/>
    <w:rsid w:val="412A7850"/>
    <w:rsid w:val="416B40BB"/>
    <w:rsid w:val="41A34935"/>
    <w:rsid w:val="41D74346"/>
    <w:rsid w:val="42D20CEC"/>
    <w:rsid w:val="42E70C02"/>
    <w:rsid w:val="431D34F5"/>
    <w:rsid w:val="431F42E7"/>
    <w:rsid w:val="4375693B"/>
    <w:rsid w:val="438E54E2"/>
    <w:rsid w:val="43E42FAB"/>
    <w:rsid w:val="4425025B"/>
    <w:rsid w:val="4474710B"/>
    <w:rsid w:val="45EB3C9C"/>
    <w:rsid w:val="45F647C8"/>
    <w:rsid w:val="462117C1"/>
    <w:rsid w:val="46AC7E9C"/>
    <w:rsid w:val="47F24CED"/>
    <w:rsid w:val="47FD3DA2"/>
    <w:rsid w:val="482945BB"/>
    <w:rsid w:val="487E7343"/>
    <w:rsid w:val="489E62C2"/>
    <w:rsid w:val="48B13D51"/>
    <w:rsid w:val="49794EB1"/>
    <w:rsid w:val="49830B4E"/>
    <w:rsid w:val="4A050288"/>
    <w:rsid w:val="4A127D6A"/>
    <w:rsid w:val="4A8B19ED"/>
    <w:rsid w:val="4B8674D6"/>
    <w:rsid w:val="4B8B572C"/>
    <w:rsid w:val="4B9015FC"/>
    <w:rsid w:val="4BD01E80"/>
    <w:rsid w:val="4D8A28D5"/>
    <w:rsid w:val="4DD0035B"/>
    <w:rsid w:val="4EA32971"/>
    <w:rsid w:val="4F4A7007"/>
    <w:rsid w:val="4F6D613F"/>
    <w:rsid w:val="5056459D"/>
    <w:rsid w:val="505C58A1"/>
    <w:rsid w:val="506A0EDA"/>
    <w:rsid w:val="50910E71"/>
    <w:rsid w:val="50C57738"/>
    <w:rsid w:val="51060933"/>
    <w:rsid w:val="51241AE0"/>
    <w:rsid w:val="51825A4F"/>
    <w:rsid w:val="518954A9"/>
    <w:rsid w:val="521045E0"/>
    <w:rsid w:val="52255CCE"/>
    <w:rsid w:val="52594DCC"/>
    <w:rsid w:val="528378DA"/>
    <w:rsid w:val="52DF1B20"/>
    <w:rsid w:val="531F5462"/>
    <w:rsid w:val="53CF268F"/>
    <w:rsid w:val="53F44B57"/>
    <w:rsid w:val="53F9100A"/>
    <w:rsid w:val="545F75E0"/>
    <w:rsid w:val="54B57262"/>
    <w:rsid w:val="552221D4"/>
    <w:rsid w:val="55510DE0"/>
    <w:rsid w:val="55A30878"/>
    <w:rsid w:val="55A77F40"/>
    <w:rsid w:val="55AF2B96"/>
    <w:rsid w:val="55FE529A"/>
    <w:rsid w:val="56032C94"/>
    <w:rsid w:val="562E14F6"/>
    <w:rsid w:val="565E581A"/>
    <w:rsid w:val="567B5C63"/>
    <w:rsid w:val="568B7137"/>
    <w:rsid w:val="56C800B0"/>
    <w:rsid w:val="57212CB0"/>
    <w:rsid w:val="59EB5B47"/>
    <w:rsid w:val="59F90E4F"/>
    <w:rsid w:val="5ABB094F"/>
    <w:rsid w:val="5ABF1755"/>
    <w:rsid w:val="5B001495"/>
    <w:rsid w:val="5B0B5F4A"/>
    <w:rsid w:val="5B1A5DEF"/>
    <w:rsid w:val="5B531FEC"/>
    <w:rsid w:val="5B9D26D6"/>
    <w:rsid w:val="5BAF3DDF"/>
    <w:rsid w:val="5BD27442"/>
    <w:rsid w:val="5BD71CC0"/>
    <w:rsid w:val="5C6C615F"/>
    <w:rsid w:val="5CD31700"/>
    <w:rsid w:val="5D610C7C"/>
    <w:rsid w:val="5D6B59FB"/>
    <w:rsid w:val="5D9A7E3B"/>
    <w:rsid w:val="5DF01F25"/>
    <w:rsid w:val="5E90145A"/>
    <w:rsid w:val="5EC96BAF"/>
    <w:rsid w:val="5ECD0016"/>
    <w:rsid w:val="5FCA529B"/>
    <w:rsid w:val="60E559AE"/>
    <w:rsid w:val="61E23EAB"/>
    <w:rsid w:val="621403DE"/>
    <w:rsid w:val="6273773F"/>
    <w:rsid w:val="632742EF"/>
    <w:rsid w:val="634E663D"/>
    <w:rsid w:val="63A35099"/>
    <w:rsid w:val="63DD6780"/>
    <w:rsid w:val="64114B94"/>
    <w:rsid w:val="644125E6"/>
    <w:rsid w:val="64452E3B"/>
    <w:rsid w:val="64694B64"/>
    <w:rsid w:val="64E90978"/>
    <w:rsid w:val="64F4019C"/>
    <w:rsid w:val="65BA3F84"/>
    <w:rsid w:val="65C85E6E"/>
    <w:rsid w:val="660606A8"/>
    <w:rsid w:val="6651629E"/>
    <w:rsid w:val="6698072A"/>
    <w:rsid w:val="67052F4F"/>
    <w:rsid w:val="671925E1"/>
    <w:rsid w:val="67AF3F10"/>
    <w:rsid w:val="67B03931"/>
    <w:rsid w:val="68831ECB"/>
    <w:rsid w:val="68952434"/>
    <w:rsid w:val="692315C8"/>
    <w:rsid w:val="6A802D39"/>
    <w:rsid w:val="6AA3695D"/>
    <w:rsid w:val="6AD3395B"/>
    <w:rsid w:val="6C00229C"/>
    <w:rsid w:val="6CF00659"/>
    <w:rsid w:val="6D5E39D6"/>
    <w:rsid w:val="6DAA7269"/>
    <w:rsid w:val="6DD836FF"/>
    <w:rsid w:val="6DE56472"/>
    <w:rsid w:val="6DEC2A47"/>
    <w:rsid w:val="6EC426D4"/>
    <w:rsid w:val="6F7B0551"/>
    <w:rsid w:val="6FD0067D"/>
    <w:rsid w:val="6FFB6000"/>
    <w:rsid w:val="708F44EA"/>
    <w:rsid w:val="70BF4D44"/>
    <w:rsid w:val="70D874C5"/>
    <w:rsid w:val="710A313F"/>
    <w:rsid w:val="71572536"/>
    <w:rsid w:val="721234FE"/>
    <w:rsid w:val="72386EF0"/>
    <w:rsid w:val="72834ACB"/>
    <w:rsid w:val="72EC15C0"/>
    <w:rsid w:val="73A57420"/>
    <w:rsid w:val="73B45416"/>
    <w:rsid w:val="74394440"/>
    <w:rsid w:val="743C1DC7"/>
    <w:rsid w:val="747333BD"/>
    <w:rsid w:val="74997387"/>
    <w:rsid w:val="74D579AA"/>
    <w:rsid w:val="74F71653"/>
    <w:rsid w:val="759F65DA"/>
    <w:rsid w:val="7768266D"/>
    <w:rsid w:val="77AD28BC"/>
    <w:rsid w:val="78247C3A"/>
    <w:rsid w:val="782D4255"/>
    <w:rsid w:val="7830178F"/>
    <w:rsid w:val="78540AA5"/>
    <w:rsid w:val="786D1160"/>
    <w:rsid w:val="78D47CEF"/>
    <w:rsid w:val="79F0151F"/>
    <w:rsid w:val="7B12268F"/>
    <w:rsid w:val="7B8E516A"/>
    <w:rsid w:val="7BC111CF"/>
    <w:rsid w:val="7BC50DC9"/>
    <w:rsid w:val="7C133BC9"/>
    <w:rsid w:val="7C2F1FBD"/>
    <w:rsid w:val="7C3A2CBE"/>
    <w:rsid w:val="7CC12C0E"/>
    <w:rsid w:val="7D105E8D"/>
    <w:rsid w:val="7DCD0AD3"/>
    <w:rsid w:val="7DE26356"/>
    <w:rsid w:val="7F2845C0"/>
    <w:rsid w:val="7F4A61BE"/>
    <w:rsid w:val="7FB61818"/>
    <w:rsid w:val="7FFE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第一级标题"/>
    <w:basedOn w:val="1"/>
    <w:next w:val="2"/>
    <w:qFormat/>
    <w:uiPriority w:val="0"/>
    <w:pPr>
      <w:adjustRightInd w:val="0"/>
      <w:snapToGrid w:val="0"/>
      <w:spacing w:line="360" w:lineRule="auto"/>
      <w:outlineLvl w:val="0"/>
    </w:pPr>
    <w:rPr>
      <w:rFonts w:eastAsia="黑体" w:asciiTheme="minorHAnsi" w:hAnsiTheme="minorHAnsi"/>
      <w:sz w:val="32"/>
    </w:rPr>
  </w:style>
  <w:style w:type="paragraph" w:customStyle="1" w:styleId="11">
    <w:name w:val="第二级标题"/>
    <w:basedOn w:val="1"/>
    <w:next w:val="2"/>
    <w:qFormat/>
    <w:uiPriority w:val="0"/>
    <w:pPr>
      <w:adjustRightInd w:val="0"/>
      <w:snapToGrid w:val="0"/>
      <w:spacing w:line="360" w:lineRule="auto"/>
      <w:outlineLvl w:val="1"/>
    </w:pPr>
    <w:rPr>
      <w:rFonts w:asciiTheme="minorHAnsi" w:hAnsiTheme="minorHAnsi"/>
    </w:rPr>
  </w:style>
  <w:style w:type="paragraph" w:customStyle="1" w:styleId="12">
    <w:name w:val="第三级标题"/>
    <w:basedOn w:val="1"/>
    <w:next w:val="2"/>
    <w:qFormat/>
    <w:uiPriority w:val="0"/>
    <w:pPr>
      <w:adjustRightInd w:val="0"/>
      <w:snapToGrid w:val="0"/>
      <w:spacing w:line="360" w:lineRule="auto"/>
      <w:outlineLvl w:val="2"/>
    </w:pPr>
    <w:rPr>
      <w:rFonts w:eastAsia="仿宋_GB2312"/>
      <w:b/>
      <w:sz w:val="30"/>
    </w:rPr>
  </w:style>
  <w:style w:type="paragraph" w:customStyle="1" w:styleId="13">
    <w:name w:val="正文1"/>
    <w:basedOn w:val="1"/>
    <w:next w:val="2"/>
    <w:qFormat/>
    <w:uiPriority w:val="0"/>
    <w:pPr>
      <w:adjustRightInd w:val="0"/>
      <w:snapToGrid w:val="0"/>
      <w:spacing w:line="360" w:lineRule="auto"/>
      <w:ind w:firstLine="640" w:firstLineChars="200"/>
    </w:pPr>
    <w:rPr>
      <w:rFonts w:eastAsia="仿宋_GB2312"/>
      <w:color w:val="767171" w:themeColor="background2" w:themeShade="80"/>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2392</Words>
  <Characters>2541</Characters>
  <Lines>18</Lines>
  <Paragraphs>5</Paragraphs>
  <TotalTime>11</TotalTime>
  <ScaleCrop>false</ScaleCrop>
  <LinksUpToDate>false</LinksUpToDate>
  <CharactersWithSpaces>2544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2019-03-20T05:00:00Z</dcterms:created>
  <dc:creator>北人在粤</dc:creator>
  <cp:lastModifiedBy>Administrator</cp:lastModifiedBy>
  <cp:lastPrinted>2021-03-30T01:33:00Z</cp:lastPrinted>
  <dcterms:modified xsi:type="dcterms:W3CDTF">2022-03-25T07:39:36Z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6</vt:lpwstr>
  </property>
  <property fmtid="{D5CDD505-2E9C-101B-9397-08002B2CF9AE}" pid="4" name="ICV">
    <vt:lpwstr>2BE1DC1D3DC143B7B5A54AD35D159E7F</vt:lpwstr>
  </property>
</Properties>
</file>